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348" w:type="pct"/>
        <w:tblCellSpacing w:w="0" w:type="dxa"/>
        <w:tblInd w:w="4962" w:type="dxa"/>
        <w:tblCellMar>
          <w:left w:w="0" w:type="dxa"/>
          <w:right w:w="0" w:type="dxa"/>
        </w:tblCellMar>
        <w:tblLook w:val="04A0" w:firstRow="1" w:lastRow="0" w:firstColumn="1" w:lastColumn="0" w:noHBand="0" w:noVBand="1"/>
      </w:tblPr>
      <w:tblGrid>
        <w:gridCol w:w="4393"/>
      </w:tblGrid>
      <w:tr w:rsidR="00E2332C" w:rsidRPr="00E2332C" w:rsidTr="00E2332C">
        <w:trPr>
          <w:tblCellSpacing w:w="0" w:type="dxa"/>
        </w:trPr>
        <w:tc>
          <w:tcPr>
            <w:tcW w:w="5000" w:type="pct"/>
            <w:hideMark/>
          </w:tcPr>
          <w:p w:rsidR="00E2332C" w:rsidRPr="00E2332C" w:rsidRDefault="00E2332C" w:rsidP="0098688D">
            <w:pPr>
              <w:spacing w:before="100" w:beforeAutospacing="1" w:after="100" w:afterAutospacing="1" w:line="240" w:lineRule="auto"/>
              <w:rPr>
                <w:rFonts w:ascii="Times New Roman" w:eastAsia="Times New Roman" w:hAnsi="Times New Roman" w:cs="Times New Roman"/>
                <w:sz w:val="24"/>
                <w:szCs w:val="24"/>
                <w:lang w:val="uk-UA" w:eastAsia="ru-RU"/>
              </w:rPr>
            </w:pPr>
            <w:r w:rsidRPr="00E2332C">
              <w:rPr>
                <w:rFonts w:ascii="Times New Roman" w:eastAsia="Times New Roman" w:hAnsi="Times New Roman" w:cs="Times New Roman"/>
                <w:sz w:val="24"/>
                <w:szCs w:val="24"/>
                <w:lang w:val="uk-UA" w:eastAsia="ru-RU"/>
              </w:rPr>
              <w:t xml:space="preserve">Додаток 2 </w:t>
            </w:r>
            <w:r w:rsidRPr="00E2332C">
              <w:rPr>
                <w:rFonts w:ascii="Times New Roman" w:eastAsia="Times New Roman" w:hAnsi="Times New Roman" w:cs="Times New Roman"/>
                <w:sz w:val="24"/>
                <w:szCs w:val="24"/>
                <w:lang w:val="uk-UA" w:eastAsia="ru-RU"/>
              </w:rPr>
              <w:br/>
              <w:t xml:space="preserve">до </w:t>
            </w:r>
            <w:proofErr w:type="spellStart"/>
            <w:r w:rsidR="0098688D" w:rsidRPr="0098688D">
              <w:rPr>
                <w:rFonts w:ascii="Times New Roman" w:eastAsia="Times New Roman" w:hAnsi="Times New Roman" w:cs="Times New Roman"/>
                <w:sz w:val="24"/>
                <w:szCs w:val="24"/>
                <w:lang w:eastAsia="ru-RU"/>
              </w:rPr>
              <w:t>Вимог</w:t>
            </w:r>
            <w:proofErr w:type="spellEnd"/>
            <w:r w:rsidR="0098688D" w:rsidRPr="0098688D">
              <w:rPr>
                <w:rFonts w:ascii="Times New Roman" w:eastAsia="Times New Roman" w:hAnsi="Times New Roman" w:cs="Times New Roman"/>
                <w:sz w:val="24"/>
                <w:szCs w:val="24"/>
                <w:lang w:eastAsia="ru-RU"/>
              </w:rPr>
              <w:t xml:space="preserve"> та умов безпеки</w:t>
            </w:r>
            <w:r w:rsidR="0098688D" w:rsidRPr="0098688D">
              <w:rPr>
                <w:rFonts w:ascii="Times New Roman" w:eastAsia="Times New Roman" w:hAnsi="Times New Roman" w:cs="Times New Roman"/>
                <w:sz w:val="24"/>
                <w:szCs w:val="24"/>
                <w:lang w:eastAsia="ru-RU"/>
              </w:rPr>
              <w:br/>
              <w:t>(</w:t>
            </w:r>
            <w:proofErr w:type="spellStart"/>
            <w:r w:rsidR="0098688D" w:rsidRPr="0098688D">
              <w:rPr>
                <w:rFonts w:ascii="Times New Roman" w:eastAsia="Times New Roman" w:hAnsi="Times New Roman" w:cs="Times New Roman"/>
                <w:sz w:val="24"/>
                <w:szCs w:val="24"/>
                <w:lang w:eastAsia="ru-RU"/>
              </w:rPr>
              <w:t>ліцензійних</w:t>
            </w:r>
            <w:proofErr w:type="spellEnd"/>
            <w:r w:rsidR="0098688D" w:rsidRPr="0098688D">
              <w:rPr>
                <w:rFonts w:ascii="Times New Roman" w:eastAsia="Times New Roman" w:hAnsi="Times New Roman" w:cs="Times New Roman"/>
                <w:sz w:val="24"/>
                <w:szCs w:val="24"/>
                <w:lang w:eastAsia="ru-RU"/>
              </w:rPr>
              <w:t xml:space="preserve"> умов) </w:t>
            </w:r>
            <w:proofErr w:type="spellStart"/>
            <w:r w:rsidR="0098688D" w:rsidRPr="0098688D">
              <w:rPr>
                <w:rFonts w:ascii="Times New Roman" w:eastAsia="Times New Roman" w:hAnsi="Times New Roman" w:cs="Times New Roman"/>
                <w:sz w:val="24"/>
                <w:szCs w:val="24"/>
                <w:lang w:eastAsia="ru-RU"/>
              </w:rPr>
              <w:t>провадження</w:t>
            </w:r>
            <w:proofErr w:type="spellEnd"/>
            <w:r w:rsidR="0098688D" w:rsidRPr="0098688D">
              <w:rPr>
                <w:rFonts w:ascii="Times New Roman" w:eastAsia="Times New Roman" w:hAnsi="Times New Roman" w:cs="Times New Roman"/>
                <w:sz w:val="24"/>
                <w:szCs w:val="24"/>
                <w:lang w:eastAsia="ru-RU"/>
              </w:rPr>
              <w:br/>
            </w:r>
            <w:proofErr w:type="spellStart"/>
            <w:r w:rsidR="0098688D" w:rsidRPr="0098688D">
              <w:rPr>
                <w:rFonts w:ascii="Times New Roman" w:eastAsia="Times New Roman" w:hAnsi="Times New Roman" w:cs="Times New Roman"/>
                <w:sz w:val="24"/>
                <w:szCs w:val="24"/>
                <w:lang w:eastAsia="ru-RU"/>
              </w:rPr>
              <w:t>діяльності</w:t>
            </w:r>
            <w:proofErr w:type="spellEnd"/>
            <w:r w:rsidR="0098688D" w:rsidRPr="0098688D">
              <w:rPr>
                <w:rFonts w:ascii="Times New Roman" w:eastAsia="Times New Roman" w:hAnsi="Times New Roman" w:cs="Times New Roman"/>
                <w:sz w:val="24"/>
                <w:szCs w:val="24"/>
                <w:lang w:eastAsia="ru-RU"/>
              </w:rPr>
              <w:t xml:space="preserve"> з </w:t>
            </w:r>
            <w:proofErr w:type="spellStart"/>
            <w:r w:rsidR="0098688D" w:rsidRPr="0098688D">
              <w:rPr>
                <w:rFonts w:ascii="Times New Roman" w:eastAsia="Times New Roman" w:hAnsi="Times New Roman" w:cs="Times New Roman"/>
                <w:sz w:val="24"/>
                <w:szCs w:val="24"/>
                <w:lang w:eastAsia="ru-RU"/>
              </w:rPr>
              <w:t>видобування</w:t>
            </w:r>
            <w:proofErr w:type="spellEnd"/>
            <w:r w:rsidR="0098688D" w:rsidRPr="0098688D">
              <w:rPr>
                <w:rFonts w:ascii="Times New Roman" w:eastAsia="Times New Roman" w:hAnsi="Times New Roman" w:cs="Times New Roman"/>
                <w:sz w:val="24"/>
                <w:szCs w:val="24"/>
                <w:lang w:eastAsia="ru-RU"/>
              </w:rPr>
              <w:t xml:space="preserve">, </w:t>
            </w:r>
            <w:proofErr w:type="spellStart"/>
            <w:r w:rsidR="0098688D" w:rsidRPr="0098688D">
              <w:rPr>
                <w:rFonts w:ascii="Times New Roman" w:eastAsia="Times New Roman" w:hAnsi="Times New Roman" w:cs="Times New Roman"/>
                <w:sz w:val="24"/>
                <w:szCs w:val="24"/>
                <w:lang w:eastAsia="ru-RU"/>
              </w:rPr>
              <w:t>переробки</w:t>
            </w:r>
            <w:proofErr w:type="spellEnd"/>
            <w:r w:rsidR="0098688D" w:rsidRPr="0098688D">
              <w:rPr>
                <w:rFonts w:ascii="Times New Roman" w:eastAsia="Times New Roman" w:hAnsi="Times New Roman" w:cs="Times New Roman"/>
                <w:sz w:val="24"/>
                <w:szCs w:val="24"/>
                <w:lang w:eastAsia="ru-RU"/>
              </w:rPr>
              <w:br/>
            </w:r>
            <w:proofErr w:type="spellStart"/>
            <w:r w:rsidR="0098688D" w:rsidRPr="0098688D">
              <w:rPr>
                <w:rFonts w:ascii="Times New Roman" w:eastAsia="Times New Roman" w:hAnsi="Times New Roman" w:cs="Times New Roman"/>
                <w:sz w:val="24"/>
                <w:szCs w:val="24"/>
                <w:lang w:eastAsia="ru-RU"/>
              </w:rPr>
              <w:t>уранових</w:t>
            </w:r>
            <w:proofErr w:type="spellEnd"/>
            <w:r w:rsidR="0098688D" w:rsidRPr="0098688D">
              <w:rPr>
                <w:rFonts w:ascii="Times New Roman" w:eastAsia="Times New Roman" w:hAnsi="Times New Roman" w:cs="Times New Roman"/>
                <w:sz w:val="24"/>
                <w:szCs w:val="24"/>
                <w:lang w:eastAsia="ru-RU"/>
              </w:rPr>
              <w:t xml:space="preserve"> руд</w:t>
            </w:r>
            <w:r w:rsidR="0098688D" w:rsidRPr="0098688D">
              <w:rPr>
                <w:rFonts w:ascii="Times New Roman" w:eastAsia="Times New Roman" w:hAnsi="Times New Roman" w:cs="Times New Roman"/>
                <w:sz w:val="24"/>
                <w:szCs w:val="24"/>
                <w:lang w:eastAsia="ru-RU"/>
              </w:rPr>
              <w:br/>
              <w:t xml:space="preserve">(пункт 2 </w:t>
            </w:r>
            <w:proofErr w:type="spellStart"/>
            <w:r w:rsidR="0098688D" w:rsidRPr="0098688D">
              <w:rPr>
                <w:rFonts w:ascii="Times New Roman" w:eastAsia="Times New Roman" w:hAnsi="Times New Roman" w:cs="Times New Roman"/>
                <w:sz w:val="24"/>
                <w:szCs w:val="24"/>
                <w:lang w:eastAsia="ru-RU"/>
              </w:rPr>
              <w:t>розділу</w:t>
            </w:r>
            <w:proofErr w:type="spellEnd"/>
            <w:r w:rsidR="0098688D" w:rsidRPr="0098688D">
              <w:rPr>
                <w:rFonts w:ascii="Times New Roman" w:eastAsia="Times New Roman" w:hAnsi="Times New Roman" w:cs="Times New Roman"/>
                <w:sz w:val="24"/>
                <w:szCs w:val="24"/>
                <w:lang w:eastAsia="ru-RU"/>
              </w:rPr>
              <w:t xml:space="preserve"> II)</w:t>
            </w:r>
          </w:p>
        </w:tc>
      </w:tr>
    </w:tbl>
    <w:p w:rsidR="003C43B6" w:rsidRPr="003C43B6" w:rsidRDefault="003C43B6" w:rsidP="003C43B6">
      <w:pPr>
        <w:spacing w:after="0" w:line="240" w:lineRule="auto"/>
        <w:jc w:val="center"/>
        <w:rPr>
          <w:rFonts w:ascii="Times New Roman" w:eastAsia="Times New Roman" w:hAnsi="Times New Roman" w:cs="Times New Roman"/>
          <w:b/>
          <w:sz w:val="24"/>
          <w:szCs w:val="24"/>
          <w:lang w:val="uk-UA" w:eastAsia="ru-RU"/>
        </w:rPr>
      </w:pPr>
      <w:bookmarkStart w:id="0" w:name="n35"/>
      <w:bookmarkEnd w:id="0"/>
    </w:p>
    <w:p w:rsidR="003C43B6" w:rsidRPr="003C43B6" w:rsidRDefault="00E2332C" w:rsidP="003C43B6">
      <w:pPr>
        <w:spacing w:after="0" w:line="240" w:lineRule="auto"/>
        <w:jc w:val="center"/>
        <w:rPr>
          <w:rFonts w:ascii="Times New Roman" w:eastAsia="Times New Roman" w:hAnsi="Times New Roman" w:cs="Times New Roman"/>
          <w:b/>
          <w:sz w:val="24"/>
          <w:szCs w:val="24"/>
          <w:lang w:val="uk-UA" w:eastAsia="ru-RU"/>
        </w:rPr>
      </w:pPr>
      <w:r w:rsidRPr="003C43B6">
        <w:rPr>
          <w:rFonts w:ascii="Times New Roman" w:eastAsia="Times New Roman" w:hAnsi="Times New Roman" w:cs="Times New Roman"/>
          <w:b/>
          <w:sz w:val="24"/>
          <w:szCs w:val="24"/>
          <w:lang w:val="uk-UA" w:eastAsia="ru-RU"/>
        </w:rPr>
        <w:t xml:space="preserve">ПЕРЕЛІК </w:t>
      </w:r>
    </w:p>
    <w:p w:rsidR="00E2332C" w:rsidRPr="003C43B6" w:rsidRDefault="0098688D" w:rsidP="003C43B6">
      <w:pPr>
        <w:spacing w:after="0" w:line="240" w:lineRule="auto"/>
        <w:jc w:val="center"/>
        <w:rPr>
          <w:rFonts w:ascii="Times New Roman" w:eastAsia="Times New Roman" w:hAnsi="Times New Roman" w:cs="Times New Roman"/>
          <w:b/>
          <w:sz w:val="24"/>
          <w:szCs w:val="24"/>
          <w:lang w:val="uk-UA" w:eastAsia="ru-RU"/>
        </w:rPr>
      </w:pPr>
      <w:r w:rsidRPr="0098688D">
        <w:rPr>
          <w:rFonts w:ascii="Times New Roman" w:eastAsia="Times New Roman" w:hAnsi="Times New Roman" w:cs="Times New Roman"/>
          <w:b/>
          <w:sz w:val="24"/>
          <w:szCs w:val="24"/>
          <w:lang w:val="uk-UA" w:eastAsia="ru-RU"/>
        </w:rPr>
        <w:t>документів, що додаються до заяви для отримання (внесення змін, переоформлення) ліцензії на провадження діяльності з видобування, переробки уранових руд</w:t>
      </w:r>
    </w:p>
    <w:p w:rsidR="003C43B6" w:rsidRPr="00E2332C" w:rsidRDefault="003C43B6" w:rsidP="003C43B6">
      <w:pPr>
        <w:spacing w:after="0" w:line="240" w:lineRule="auto"/>
        <w:jc w:val="center"/>
        <w:rPr>
          <w:rFonts w:ascii="Times New Roman" w:eastAsia="Times New Roman" w:hAnsi="Times New Roman" w:cs="Times New Roman"/>
          <w:b/>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bookmarkStart w:id="1" w:name="n36"/>
      <w:bookmarkEnd w:id="1"/>
      <w:r w:rsidRPr="00EC3938">
        <w:rPr>
          <w:rFonts w:ascii="Times New Roman" w:eastAsia="Times New Roman" w:hAnsi="Times New Roman" w:cs="Times New Roman"/>
          <w:sz w:val="24"/>
          <w:szCs w:val="24"/>
          <w:lang w:val="uk-UA" w:eastAsia="ru-RU"/>
        </w:rPr>
        <w:t>1. Звіт про аналіз безпеки провадження діяльності з видобування, переробки уранових руд.</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2. Довідка про наявність та достатність фінансових ресурсів, необхідних для провадження заявленого виду діяльності.</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3. Документ, що підтверджує наявність та достатність матеріальних ресурсів заявника, необхідних для провадження ліцензованої діяльності, а саме: матеріали, обладнання, технічні та транспортні засоби.</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4. Організаційна структура підприємства, затверджена у встановленому порядку.</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 xml:space="preserve">5. Довідка про кваліфікацію персоналу суб’єкта діяльності у сфері використання ядерної енергії за формою, встановленою у </w:t>
      </w:r>
      <w:hyperlink r:id="rId4" w:anchor="n272" w:history="1">
        <w:r w:rsidRPr="00741F72">
          <w:rPr>
            <w:rStyle w:val="a3"/>
            <w:rFonts w:ascii="Times New Roman" w:eastAsia="Times New Roman" w:hAnsi="Times New Roman" w:cs="Times New Roman"/>
            <w:sz w:val="24"/>
            <w:szCs w:val="24"/>
            <w:lang w:val="uk-UA" w:eastAsia="ru-RU"/>
          </w:rPr>
          <w:t>додатку 3</w:t>
        </w:r>
      </w:hyperlink>
      <w:r w:rsidRPr="00EC3938">
        <w:rPr>
          <w:rFonts w:ascii="Times New Roman" w:eastAsia="Times New Roman" w:hAnsi="Times New Roman" w:cs="Times New Roman"/>
          <w:sz w:val="24"/>
          <w:szCs w:val="24"/>
          <w:lang w:val="uk-UA" w:eastAsia="ru-RU"/>
        </w:rPr>
        <w:t xml:space="preserve"> до цих Ліцензійних умов.</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6. Висновки державної експертизи з ядерної та радіаційної безпеки проектів УО.</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 xml:space="preserve">7. Копія </w:t>
      </w:r>
      <w:proofErr w:type="spellStart"/>
      <w:r w:rsidRPr="00EC3938">
        <w:rPr>
          <w:rFonts w:ascii="Times New Roman" w:eastAsia="Times New Roman" w:hAnsi="Times New Roman" w:cs="Times New Roman"/>
          <w:sz w:val="24"/>
          <w:szCs w:val="24"/>
          <w:lang w:val="uk-UA" w:eastAsia="ru-RU"/>
        </w:rPr>
        <w:t>акта</w:t>
      </w:r>
      <w:proofErr w:type="spellEnd"/>
      <w:r w:rsidRPr="00EC3938">
        <w:rPr>
          <w:rFonts w:ascii="Times New Roman" w:eastAsia="Times New Roman" w:hAnsi="Times New Roman" w:cs="Times New Roman"/>
          <w:sz w:val="24"/>
          <w:szCs w:val="24"/>
          <w:lang w:val="uk-UA" w:eastAsia="ru-RU"/>
        </w:rPr>
        <w:t xml:space="preserve"> прийняття УО в експлуатацію (для нових об’єктів).</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 xml:space="preserve">8. Настанова щодо системи управління (настанова з якості) діяльністю УО, розроблена відповідно до норм, правил з ядерної та радіаційної безпеки, розроблена відповідно до </w:t>
      </w:r>
      <w:hyperlink r:id="rId5" w:anchor="n55" w:history="1">
        <w:r w:rsidRPr="00741F72">
          <w:rPr>
            <w:rStyle w:val="a3"/>
            <w:rFonts w:ascii="Times New Roman" w:eastAsia="Times New Roman" w:hAnsi="Times New Roman" w:cs="Times New Roman"/>
            <w:sz w:val="24"/>
            <w:szCs w:val="24"/>
            <w:lang w:val="uk-UA" w:eastAsia="ru-RU"/>
          </w:rPr>
          <w:t>Загальних вимог до системи управління діяльністю у сфе</w:t>
        </w:r>
        <w:r w:rsidRPr="00741F72">
          <w:rPr>
            <w:rStyle w:val="a3"/>
            <w:rFonts w:ascii="Times New Roman" w:eastAsia="Times New Roman" w:hAnsi="Times New Roman" w:cs="Times New Roman"/>
            <w:sz w:val="24"/>
            <w:szCs w:val="24"/>
            <w:lang w:val="uk-UA" w:eastAsia="ru-RU"/>
          </w:rPr>
          <w:t>р</w:t>
        </w:r>
        <w:r w:rsidRPr="00741F72">
          <w:rPr>
            <w:rStyle w:val="a3"/>
            <w:rFonts w:ascii="Times New Roman" w:eastAsia="Times New Roman" w:hAnsi="Times New Roman" w:cs="Times New Roman"/>
            <w:sz w:val="24"/>
            <w:szCs w:val="24"/>
            <w:lang w:val="uk-UA" w:eastAsia="ru-RU"/>
          </w:rPr>
          <w:t>і використання ядерної енергії</w:t>
        </w:r>
      </w:hyperlink>
      <w:r w:rsidRPr="00EC3938">
        <w:rPr>
          <w:rFonts w:ascii="Times New Roman" w:eastAsia="Times New Roman" w:hAnsi="Times New Roman" w:cs="Times New Roman"/>
          <w:sz w:val="24"/>
          <w:szCs w:val="24"/>
          <w:lang w:val="uk-UA" w:eastAsia="ru-RU"/>
        </w:rPr>
        <w:t>, затверджених наказом Державної інспекції ядерного регулювання України від 19 грудня 2011 р. № 190, зареєстрованих у Міністерстві юстиції України 10 січня 2012 р. за № 17/20330.</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9. Програма поводження з ВВУР та/або ВПУР.</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 xml:space="preserve">10. План аварійних заходів, розроблений відповідно до </w:t>
      </w:r>
      <w:hyperlink r:id="rId6" w:anchor="n55" w:history="1">
        <w:r w:rsidRPr="00741F72">
          <w:rPr>
            <w:rStyle w:val="a3"/>
            <w:rFonts w:ascii="Times New Roman" w:eastAsia="Times New Roman" w:hAnsi="Times New Roman" w:cs="Times New Roman"/>
            <w:sz w:val="24"/>
            <w:szCs w:val="24"/>
            <w:lang w:val="uk-UA" w:eastAsia="ru-RU"/>
          </w:rPr>
          <w:t>пункту 13.3</w:t>
        </w:r>
      </w:hyperlink>
      <w:r w:rsidRPr="00EC3938">
        <w:rPr>
          <w:rFonts w:ascii="Times New Roman" w:eastAsia="Times New Roman" w:hAnsi="Times New Roman" w:cs="Times New Roman"/>
          <w:sz w:val="24"/>
          <w:szCs w:val="24"/>
          <w:lang w:val="uk-UA" w:eastAsia="ru-RU"/>
        </w:rPr>
        <w:t xml:space="preserve"> Основних санітарних правил забезпечення радіаційної безпеки України, затверджених наказом Міністерства охорони здоров’я України від 02 лютого 2005 р. № 54, зареєстрованих у Міністерстві юстиції України 20 травня 2005 р. за № 552/10832, та </w:t>
      </w:r>
      <w:hyperlink r:id="rId7" w:anchor="n55" w:history="1">
        <w:r w:rsidRPr="00741F72">
          <w:rPr>
            <w:rStyle w:val="a3"/>
            <w:rFonts w:ascii="Times New Roman" w:eastAsia="Times New Roman" w:hAnsi="Times New Roman" w:cs="Times New Roman"/>
            <w:sz w:val="24"/>
            <w:szCs w:val="24"/>
            <w:lang w:val="uk-UA" w:eastAsia="ru-RU"/>
          </w:rPr>
          <w:t>додат</w:t>
        </w:r>
        <w:r w:rsidRPr="00741F72">
          <w:rPr>
            <w:rStyle w:val="a3"/>
            <w:rFonts w:ascii="Times New Roman" w:eastAsia="Times New Roman" w:hAnsi="Times New Roman" w:cs="Times New Roman"/>
            <w:sz w:val="24"/>
            <w:szCs w:val="24"/>
            <w:lang w:val="uk-UA" w:eastAsia="ru-RU"/>
          </w:rPr>
          <w:t>к</w:t>
        </w:r>
        <w:r w:rsidRPr="00741F72">
          <w:rPr>
            <w:rStyle w:val="a3"/>
            <w:rFonts w:ascii="Times New Roman" w:eastAsia="Times New Roman" w:hAnsi="Times New Roman" w:cs="Times New Roman"/>
            <w:sz w:val="24"/>
            <w:szCs w:val="24"/>
            <w:lang w:val="uk-UA" w:eastAsia="ru-RU"/>
          </w:rPr>
          <w:t>у 5</w:t>
        </w:r>
      </w:hyperlink>
      <w:r w:rsidRPr="00EC3938">
        <w:rPr>
          <w:rFonts w:ascii="Times New Roman" w:eastAsia="Times New Roman" w:hAnsi="Times New Roman" w:cs="Times New Roman"/>
          <w:sz w:val="24"/>
          <w:szCs w:val="24"/>
          <w:lang w:val="uk-UA" w:eastAsia="ru-RU"/>
        </w:rPr>
        <w:t xml:space="preserve"> Державних гігієнічних нормативів «Норми радіаційної безпеки України (НРБУ-97)», затверджених наказом Міністерства охорони здоров’я України від 14 липня 1997 р. </w:t>
      </w:r>
      <w:hyperlink r:id="rId8" w:anchor="n55" w:history="1">
        <w:r w:rsidRPr="00741F72">
          <w:rPr>
            <w:rStyle w:val="a3"/>
            <w:rFonts w:ascii="Times New Roman" w:eastAsia="Times New Roman" w:hAnsi="Times New Roman" w:cs="Times New Roman"/>
            <w:sz w:val="24"/>
            <w:szCs w:val="24"/>
            <w:lang w:val="uk-UA" w:eastAsia="ru-RU"/>
          </w:rPr>
          <w:t xml:space="preserve">№ </w:t>
        </w:r>
        <w:r w:rsidRPr="00741F72">
          <w:rPr>
            <w:rStyle w:val="a3"/>
            <w:rFonts w:ascii="Times New Roman" w:eastAsia="Times New Roman" w:hAnsi="Times New Roman" w:cs="Times New Roman"/>
            <w:sz w:val="24"/>
            <w:szCs w:val="24"/>
            <w:lang w:val="uk-UA" w:eastAsia="ru-RU"/>
          </w:rPr>
          <w:t>2</w:t>
        </w:r>
        <w:r w:rsidRPr="00741F72">
          <w:rPr>
            <w:rStyle w:val="a3"/>
            <w:rFonts w:ascii="Times New Roman" w:eastAsia="Times New Roman" w:hAnsi="Times New Roman" w:cs="Times New Roman"/>
            <w:sz w:val="24"/>
            <w:szCs w:val="24"/>
            <w:lang w:val="uk-UA" w:eastAsia="ru-RU"/>
          </w:rPr>
          <w:t>08</w:t>
        </w:r>
      </w:hyperlink>
      <w:r w:rsidRPr="00EC3938">
        <w:rPr>
          <w:rFonts w:ascii="Times New Roman" w:eastAsia="Times New Roman" w:hAnsi="Times New Roman" w:cs="Times New Roman"/>
          <w:sz w:val="24"/>
          <w:szCs w:val="24"/>
          <w:lang w:val="uk-UA" w:eastAsia="ru-RU"/>
        </w:rPr>
        <w:t>, введених в дію постановою Головного державного санітарного лікаря України від 01 грудня 1997 р. № 62.</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 xml:space="preserve">11. Довідка про фінансові можливості відшкодування збитків, завданих радіаційною аварією, що може статися під час провадження діяльності з видобування, переробки уранових руд, власними коштами, у тому числі за рахунок спеціальних фондів, або </w:t>
      </w:r>
      <w:r w:rsidRPr="00EC3938">
        <w:rPr>
          <w:rFonts w:ascii="Times New Roman" w:eastAsia="Times New Roman" w:hAnsi="Times New Roman" w:cs="Times New Roman"/>
          <w:sz w:val="24"/>
          <w:szCs w:val="24"/>
          <w:lang w:val="uk-UA" w:eastAsia="ru-RU"/>
        </w:rPr>
        <w:lastRenderedPageBreak/>
        <w:t>засвідчена копія договору із страховою компанією про відшкодування збитків за рахунок коштів страхової компанії.</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12. План припинення діяльності видобувного/переробного УО.</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13. Програма радіаційного моніторингу УО.</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14. Документ, яким встановлено порядок проведення індивідуального дозиметричного контролю персоналу та радіаційного моніторингу робочих місць.</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15. Контрольні рівні опромінення персоналу суб’єкта діяльності.</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16. Перелік приладів радіаційного контролю із зазначенням характеристик цих приладів та інформації про останню державну повірку і калібрування.</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17. Документи, що підтверджують забезпечення вимог фізичного захисту видобувного/переробного УО:</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 xml:space="preserve">копія </w:t>
      </w:r>
      <w:proofErr w:type="spellStart"/>
      <w:r w:rsidRPr="00EC3938">
        <w:rPr>
          <w:rFonts w:ascii="Times New Roman" w:eastAsia="Times New Roman" w:hAnsi="Times New Roman" w:cs="Times New Roman"/>
          <w:sz w:val="24"/>
          <w:szCs w:val="24"/>
          <w:lang w:val="uk-UA" w:eastAsia="ru-RU"/>
        </w:rPr>
        <w:t>акта</w:t>
      </w:r>
      <w:proofErr w:type="spellEnd"/>
      <w:r w:rsidRPr="00EC3938">
        <w:rPr>
          <w:rFonts w:ascii="Times New Roman" w:eastAsia="Times New Roman" w:hAnsi="Times New Roman" w:cs="Times New Roman"/>
          <w:sz w:val="24"/>
          <w:szCs w:val="24"/>
          <w:lang w:val="uk-UA" w:eastAsia="ru-RU"/>
        </w:rPr>
        <w:t xml:space="preserve"> визначення рівня фізичного захисту УО, оформленого в установленому законодавством порядку;</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 xml:space="preserve">копія наказу про призначення з числа керівництва особи, відповідальної за стан та функціонування системи фізичного захисту (у разі якщо визначена категорія відповідно до </w:t>
      </w:r>
      <w:hyperlink r:id="rId9" w:anchor="n55" w:history="1">
        <w:r w:rsidRPr="00741F72">
          <w:rPr>
            <w:rStyle w:val="a3"/>
            <w:rFonts w:ascii="Times New Roman" w:eastAsia="Times New Roman" w:hAnsi="Times New Roman" w:cs="Times New Roman"/>
            <w:sz w:val="24"/>
            <w:szCs w:val="24"/>
            <w:lang w:val="uk-UA" w:eastAsia="ru-RU"/>
          </w:rPr>
          <w:t>додатка 2</w:t>
        </w:r>
      </w:hyperlink>
      <w:r w:rsidRPr="00EC3938">
        <w:rPr>
          <w:rFonts w:ascii="Times New Roman" w:eastAsia="Times New Roman" w:hAnsi="Times New Roman" w:cs="Times New Roman"/>
          <w:sz w:val="24"/>
          <w:szCs w:val="24"/>
          <w:lang w:val="uk-UA" w:eastAsia="ru-RU"/>
        </w:rPr>
        <w:t xml:space="preserve"> до Порядку визначення рівня фізичного захисту ядерних установок, ядерних матеріалів, радіоактивних відходів, інших джерел іонізуючого випромінювання відповідно до їх категорії, затвердженого постановою Кабінету Міністрів України від 26 квітня 2003 р. № 625);</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 xml:space="preserve">копії виданих в установленому порядку наказів про надання допуску до виконання особливих робіт керівника та працівників підприємства, переліку посад працівників, робота на яких потребує допуску до виконання особливих робіт (у разі якщо визначена категорія відповідно до </w:t>
      </w:r>
      <w:hyperlink r:id="rId10" w:anchor="n55" w:history="1">
        <w:r w:rsidRPr="00741F72">
          <w:rPr>
            <w:rStyle w:val="a3"/>
            <w:rFonts w:ascii="Times New Roman" w:eastAsia="Times New Roman" w:hAnsi="Times New Roman" w:cs="Times New Roman"/>
            <w:sz w:val="24"/>
            <w:szCs w:val="24"/>
            <w:lang w:val="uk-UA" w:eastAsia="ru-RU"/>
          </w:rPr>
          <w:t>додатку 2</w:t>
        </w:r>
      </w:hyperlink>
      <w:r w:rsidRPr="00EC3938">
        <w:rPr>
          <w:rFonts w:ascii="Times New Roman" w:eastAsia="Times New Roman" w:hAnsi="Times New Roman" w:cs="Times New Roman"/>
          <w:sz w:val="24"/>
          <w:szCs w:val="24"/>
          <w:lang w:val="uk-UA" w:eastAsia="ru-RU"/>
        </w:rPr>
        <w:t xml:space="preserve"> до Порядку визначення рівня фізичного захисту ядерних установок, ядерних матеріалів, радіоактивних відходів, інших джерел іонізуючого випромінювання відповідно до їх категорії, затвердженого постановою Кабінету Міністрів України від 26 квітня 2003 р. № 625);</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довідка, складена заявником у довільній формі, про створення умов для захисту інформації з обмеженим доступом відповідно до законодавства про захист інфор</w:t>
      </w:r>
      <w:bookmarkStart w:id="2" w:name="_GoBack"/>
      <w:bookmarkEnd w:id="2"/>
      <w:r w:rsidRPr="00EC3938">
        <w:rPr>
          <w:rFonts w:ascii="Times New Roman" w:eastAsia="Times New Roman" w:hAnsi="Times New Roman" w:cs="Times New Roman"/>
          <w:sz w:val="24"/>
          <w:szCs w:val="24"/>
          <w:lang w:val="uk-UA" w:eastAsia="ru-RU"/>
        </w:rPr>
        <w:t xml:space="preserve">мації (у разі якщо визначена категорія відповідно до </w:t>
      </w:r>
      <w:hyperlink r:id="rId11" w:anchor="n55" w:history="1">
        <w:r w:rsidRPr="00741F72">
          <w:rPr>
            <w:rStyle w:val="a3"/>
            <w:rFonts w:ascii="Times New Roman" w:eastAsia="Times New Roman" w:hAnsi="Times New Roman" w:cs="Times New Roman"/>
            <w:sz w:val="24"/>
            <w:szCs w:val="24"/>
            <w:lang w:val="uk-UA" w:eastAsia="ru-RU"/>
          </w:rPr>
          <w:t>додатка 2</w:t>
        </w:r>
      </w:hyperlink>
      <w:r w:rsidRPr="00EC3938">
        <w:rPr>
          <w:rFonts w:ascii="Times New Roman" w:eastAsia="Times New Roman" w:hAnsi="Times New Roman" w:cs="Times New Roman"/>
          <w:sz w:val="24"/>
          <w:szCs w:val="24"/>
          <w:lang w:val="uk-UA" w:eastAsia="ru-RU"/>
        </w:rPr>
        <w:t xml:space="preserve"> до Порядку визначення рівня фізичного захисту ядерних установок, ядерних матеріалів, радіоактивних відходів, інших джерел іонізуючого випромінювання відповідно до їх категорії, затвердженого постановою Кабінету Міністрів України від 26 квітня 2003 р. № 625).</w:t>
      </w:r>
    </w:p>
    <w:p w:rsidR="00EC3938" w:rsidRPr="00EC3938" w:rsidRDefault="00EC3938" w:rsidP="00BD3F06">
      <w:pPr>
        <w:spacing w:after="0"/>
        <w:jc w:val="both"/>
        <w:rPr>
          <w:rFonts w:ascii="Times New Roman" w:eastAsia="Times New Roman" w:hAnsi="Times New Roman" w:cs="Times New Roman"/>
          <w:sz w:val="24"/>
          <w:szCs w:val="24"/>
          <w:lang w:val="uk-UA" w:eastAsia="ru-RU"/>
        </w:rPr>
      </w:pPr>
    </w:p>
    <w:p w:rsidR="00EC3938" w:rsidRPr="00EC3938" w:rsidRDefault="00EC3938" w:rsidP="00BD3F06">
      <w:pPr>
        <w:spacing w:after="0"/>
        <w:jc w:val="both"/>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18. Оригінал ліцензії (при переоформленні або внесенні змін).</w:t>
      </w:r>
    </w:p>
    <w:p w:rsidR="00EC3938" w:rsidRPr="00EC3938" w:rsidRDefault="00EC3938" w:rsidP="00EC3938">
      <w:pPr>
        <w:rPr>
          <w:rFonts w:ascii="Times New Roman" w:eastAsia="Times New Roman" w:hAnsi="Times New Roman" w:cs="Times New Roman"/>
          <w:sz w:val="24"/>
          <w:szCs w:val="24"/>
          <w:lang w:val="uk-UA" w:eastAsia="ru-RU"/>
        </w:rPr>
      </w:pPr>
      <w:r w:rsidRPr="00EC3938">
        <w:rPr>
          <w:rFonts w:ascii="Times New Roman" w:eastAsia="Times New Roman" w:hAnsi="Times New Roman" w:cs="Times New Roman"/>
          <w:sz w:val="24"/>
          <w:szCs w:val="24"/>
          <w:lang w:val="uk-UA" w:eastAsia="ru-RU"/>
        </w:rPr>
        <w:t>__________</w:t>
      </w:r>
    </w:p>
    <w:p w:rsidR="003C6088" w:rsidRPr="003C43B6" w:rsidRDefault="00EC3938" w:rsidP="00EC3938">
      <w:pPr>
        <w:jc w:val="both"/>
        <w:rPr>
          <w:lang w:val="uk-UA"/>
        </w:rPr>
      </w:pPr>
      <w:r w:rsidRPr="00EC3938">
        <w:rPr>
          <w:rFonts w:ascii="Times New Roman" w:eastAsia="Times New Roman" w:hAnsi="Times New Roman" w:cs="Times New Roman"/>
          <w:sz w:val="24"/>
          <w:szCs w:val="24"/>
          <w:lang w:val="uk-UA" w:eastAsia="ru-RU"/>
        </w:rPr>
        <w:t>Примітка:</w:t>
      </w:r>
      <w:r w:rsidRPr="00EC3938">
        <w:rPr>
          <w:rFonts w:ascii="Times New Roman" w:eastAsia="Times New Roman" w:hAnsi="Times New Roman" w:cs="Times New Roman"/>
          <w:sz w:val="24"/>
          <w:szCs w:val="24"/>
          <w:lang w:eastAsia="ru-RU"/>
        </w:rPr>
        <w:t xml:space="preserve"> </w:t>
      </w:r>
      <w:r w:rsidRPr="00EC3938">
        <w:rPr>
          <w:rFonts w:ascii="Times New Roman" w:eastAsia="Times New Roman" w:hAnsi="Times New Roman" w:cs="Times New Roman"/>
          <w:sz w:val="24"/>
          <w:szCs w:val="24"/>
          <w:lang w:val="uk-UA" w:eastAsia="ru-RU"/>
        </w:rPr>
        <w:t>якщо документи, зазначені у цьому додатку, подавались до Держатомрегулювання і є чинними на момент подання заяви для переоформлення або внесення змін до ліцензії, заявникові достатньо посилатися на ці документи.</w:t>
      </w:r>
    </w:p>
    <w:sectPr w:rsidR="003C6088" w:rsidRPr="003C4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6A"/>
    <w:rsid w:val="003C43B6"/>
    <w:rsid w:val="003C6088"/>
    <w:rsid w:val="00741F72"/>
    <w:rsid w:val="0098688D"/>
    <w:rsid w:val="00BD3F06"/>
    <w:rsid w:val="00C0566A"/>
    <w:rsid w:val="00C67D6C"/>
    <w:rsid w:val="00E2332C"/>
    <w:rsid w:val="00EC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6AE8A-3AAE-4E30-A706-C2DA1A10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E23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E23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2332C"/>
  </w:style>
  <w:style w:type="paragraph" w:customStyle="1" w:styleId="rvps2">
    <w:name w:val="rvps2"/>
    <w:basedOn w:val="a"/>
    <w:rsid w:val="00E23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E2332C"/>
  </w:style>
  <w:style w:type="character" w:customStyle="1" w:styleId="rvts11">
    <w:name w:val="rvts11"/>
    <w:basedOn w:val="a0"/>
    <w:rsid w:val="00E2332C"/>
  </w:style>
  <w:style w:type="character" w:styleId="a3">
    <w:name w:val="Hyperlink"/>
    <w:basedOn w:val="a0"/>
    <w:uiPriority w:val="99"/>
    <w:unhideWhenUsed/>
    <w:rsid w:val="00E2332C"/>
    <w:rPr>
      <w:color w:val="0000FF"/>
      <w:u w:val="single"/>
    </w:rPr>
  </w:style>
  <w:style w:type="character" w:styleId="a4">
    <w:name w:val="FollowedHyperlink"/>
    <w:basedOn w:val="a0"/>
    <w:uiPriority w:val="99"/>
    <w:semiHidden/>
    <w:unhideWhenUsed/>
    <w:rsid w:val="00741F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0887">
      <w:bodyDiv w:val="1"/>
      <w:marLeft w:val="0"/>
      <w:marRight w:val="0"/>
      <w:marTop w:val="0"/>
      <w:marBottom w:val="0"/>
      <w:divBdr>
        <w:top w:val="none" w:sz="0" w:space="0" w:color="auto"/>
        <w:left w:val="none" w:sz="0" w:space="0" w:color="auto"/>
        <w:bottom w:val="none" w:sz="0" w:space="0" w:color="auto"/>
        <w:right w:val="none" w:sz="0" w:space="0" w:color="auto"/>
      </w:divBdr>
      <w:divsChild>
        <w:div w:id="251553115">
          <w:marLeft w:val="0"/>
          <w:marRight w:val="0"/>
          <w:marTop w:val="0"/>
          <w:marBottom w:val="0"/>
          <w:divBdr>
            <w:top w:val="none" w:sz="0" w:space="0" w:color="auto"/>
            <w:left w:val="none" w:sz="0" w:space="0" w:color="auto"/>
            <w:bottom w:val="none" w:sz="0" w:space="0" w:color="auto"/>
            <w:right w:val="none" w:sz="0" w:space="0" w:color="auto"/>
          </w:divBdr>
        </w:div>
      </w:divsChild>
    </w:div>
    <w:div w:id="1654019905">
      <w:bodyDiv w:val="1"/>
      <w:marLeft w:val="0"/>
      <w:marRight w:val="0"/>
      <w:marTop w:val="0"/>
      <w:marBottom w:val="0"/>
      <w:divBdr>
        <w:top w:val="none" w:sz="0" w:space="0" w:color="auto"/>
        <w:left w:val="none" w:sz="0" w:space="0" w:color="auto"/>
        <w:bottom w:val="none" w:sz="0" w:space="0" w:color="auto"/>
        <w:right w:val="none" w:sz="0" w:space="0" w:color="auto"/>
      </w:divBdr>
      <w:divsChild>
        <w:div w:id="1293485859">
          <w:marLeft w:val="0"/>
          <w:marRight w:val="0"/>
          <w:marTop w:val="0"/>
          <w:marBottom w:val="0"/>
          <w:divBdr>
            <w:top w:val="none" w:sz="0" w:space="0" w:color="auto"/>
            <w:left w:val="none" w:sz="0" w:space="0" w:color="auto"/>
            <w:bottom w:val="none" w:sz="0" w:space="0" w:color="auto"/>
            <w:right w:val="none" w:sz="0" w:space="0" w:color="auto"/>
          </w:divBdr>
        </w:div>
      </w:divsChild>
    </w:div>
    <w:div w:id="2068532402">
      <w:bodyDiv w:val="1"/>
      <w:marLeft w:val="0"/>
      <w:marRight w:val="0"/>
      <w:marTop w:val="0"/>
      <w:marBottom w:val="0"/>
      <w:divBdr>
        <w:top w:val="none" w:sz="0" w:space="0" w:color="auto"/>
        <w:left w:val="none" w:sz="0" w:space="0" w:color="auto"/>
        <w:bottom w:val="none" w:sz="0" w:space="0" w:color="auto"/>
        <w:right w:val="none" w:sz="0" w:space="0" w:color="auto"/>
      </w:divBdr>
      <w:divsChild>
        <w:div w:id="263533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208282-9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v0062282-9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552-05" TargetMode="External"/><Relationship Id="rId11" Type="http://schemas.openxmlformats.org/officeDocument/2006/relationships/hyperlink" Target="https://zakon.rada.gov.ua/laws/show/625-2003-%D0%BF" TargetMode="External"/><Relationship Id="rId5" Type="http://schemas.openxmlformats.org/officeDocument/2006/relationships/hyperlink" Target="https://zakon.rada.gov.ua/laws/show/z0017-12" TargetMode="External"/><Relationship Id="rId10" Type="http://schemas.openxmlformats.org/officeDocument/2006/relationships/hyperlink" Target="https://zakon.rada.gov.ua/laws/show/625-2003-%D0%BF" TargetMode="External"/><Relationship Id="rId4" Type="http://schemas.openxmlformats.org/officeDocument/2006/relationships/hyperlink" Target="https://zakon.rada.gov.ua/laws/show/z0700-15" TargetMode="External"/><Relationship Id="rId9" Type="http://schemas.openxmlformats.org/officeDocument/2006/relationships/hyperlink" Target="https://zakon.rada.gov.ua/laws/show/625-200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823</Words>
  <Characters>4694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Шилова Владислава Петрівна</cp:lastModifiedBy>
  <cp:revision>4</cp:revision>
  <dcterms:created xsi:type="dcterms:W3CDTF">2024-02-19T12:46:00Z</dcterms:created>
  <dcterms:modified xsi:type="dcterms:W3CDTF">2024-02-19T13:19:00Z</dcterms:modified>
</cp:coreProperties>
</file>